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Master Data Stewardship Guide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Operational guide for Reltio data stewards: daily workflows, exception resolution, and tools</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Master Data Stewardship Guide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02 — Data Governance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GOV-002</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This guide is the operational handbook for data stewards working with Reltio MDM. It covers the daily stewardship workflow, exception types and resolution strategies, Reltio UI navigation for stewardship tasks, escalation procedures, and productivity tips. Data stewards are the human quality control layer that ensures golden records are accurate, complete, and fit for business use.</w:t>
      </w:r>
    </w:p>
    <w:p/>
    <w:p>
      <w:pPr>
        <w:pStyle w:val="Heading1"/>
      </w:pPr>
      <w:r>
        <w:t>Table of Contents</w:t>
      </w:r>
    </w:p>
    <w:p>
      <w:pPr>
        <w:spacing w:after="60"/>
      </w:pPr>
      <w:r>
        <w:rPr>
          <w:color w:val="0C548A"/>
          <w:sz w:val="22"/>
        </w:rPr>
        <w:t>1.0  Stewardship Fundamentals</w:t>
      </w:r>
    </w:p>
    <w:p>
      <w:pPr>
        <w:spacing w:after="60"/>
      </w:pPr>
      <w:r>
        <w:rPr>
          <w:color w:val="0C548A"/>
          <w:sz w:val="22"/>
        </w:rPr>
        <w:t>2.0  Daily Workflow</w:t>
      </w:r>
    </w:p>
    <w:p>
      <w:pPr>
        <w:spacing w:after="60"/>
      </w:pPr>
      <w:r>
        <w:rPr>
          <w:color w:val="0C548A"/>
          <w:sz w:val="22"/>
        </w:rPr>
        <w:t>3.0  Exception Types &amp; Resolution</w:t>
      </w:r>
    </w:p>
    <w:p>
      <w:pPr>
        <w:spacing w:after="60"/>
      </w:pPr>
      <w:r>
        <w:rPr>
          <w:color w:val="0C548A"/>
          <w:sz w:val="22"/>
        </w:rPr>
        <w:t>4.0  Reltio UI Stewardship</w:t>
      </w:r>
    </w:p>
    <w:p>
      <w:pPr>
        <w:spacing w:after="60"/>
      </w:pPr>
      <w:r>
        <w:rPr>
          <w:color w:val="0C548A"/>
          <w:sz w:val="22"/>
        </w:rPr>
        <w:t>5.0  Bulk Resolution Patterns</w:t>
      </w:r>
    </w:p>
    <w:p>
      <w:pPr>
        <w:spacing w:after="60"/>
      </w:pPr>
      <w:r>
        <w:rPr>
          <w:color w:val="0C548A"/>
          <w:sz w:val="22"/>
        </w:rPr>
        <w:t>6.0  Performance &amp; SLA Management</w:t>
      </w:r>
    </w:p>
    <w:p>
      <w:r>
        <w:br w:type="page"/>
      </w:r>
    </w:p>
    <w:p>
      <w:pPr>
        <w:pStyle w:val="Heading1"/>
      </w:pPr>
      <w:r>
        <w:t>1. Stewardship Fundamentals</w:t>
      </w:r>
    </w:p>
    <w:p>
      <w:pPr>
        <w:pStyle w:val="Heading2"/>
      </w:pPr>
      <w:r>
        <w:t>1.1 What is a Data Steward?</w:t>
      </w:r>
    </w:p>
    <w:p>
      <w:r>
        <w:t>A data steward is a business-domain expert responsible for ensuring the quality and fitness of master data within their assigned domain. Unlike IT data custodians who manage the platform, stewards make business-context decisions: resolving match conflicts, correcting data quality exceptions, approving merges, and maintaining golden record accuracy.</w:t>
      </w:r>
    </w:p>
    <w:p>
      <w:pPr>
        <w:pStyle w:val="Heading2"/>
      </w:pPr>
      <w:r>
        <w:t>1.2 Steward Responsibilities by Domain</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Domain</w:t>
            </w:r>
          </w:p>
        </w:tc>
        <w:tc>
          <w:tcPr>
            <w:tcW w:type="dxa" w:w="3120"/>
            <w:shd w:fill="0C548A" w:val="clear"/>
          </w:tcPr>
          <w:p>
            <w:r>
              <w:rPr>
                <w:b/>
                <w:color w:val="FFFFFF"/>
                <w:sz w:val="20"/>
              </w:rPr>
              <w:t>Steward Responsibilities</w:t>
            </w:r>
          </w:p>
        </w:tc>
        <w:tc>
          <w:tcPr>
            <w:tcW w:type="dxa" w:w="3120"/>
            <w:shd w:fill="0C548A" w:val="clear"/>
          </w:tcPr>
          <w:p>
            <w:r>
              <w:rPr>
                <w:b/>
                <w:color w:val="FFFFFF"/>
                <w:sz w:val="20"/>
              </w:rPr>
              <w:t>Key Decisions</w:t>
            </w:r>
          </w:p>
        </w:tc>
      </w:tr>
      <w:tr>
        <w:tc>
          <w:tcPr>
            <w:tcW w:type="dxa" w:w="3120"/>
          </w:tcPr>
          <w:p>
            <w:r>
              <w:rPr>
                <w:sz w:val="20"/>
              </w:rPr>
              <w:t>Customer</w:t>
            </w:r>
          </w:p>
        </w:tc>
        <w:tc>
          <w:tcPr>
            <w:tcW w:type="dxa" w:w="3120"/>
          </w:tcPr>
          <w:p>
            <w:r>
              <w:rPr>
                <w:sz w:val="20"/>
              </w:rPr>
              <w:t>Resolve duplicate customers, validate addresses, correct name variants</w:t>
            </w:r>
          </w:p>
        </w:tc>
        <w:tc>
          <w:tcPr>
            <w:tcW w:type="dxa" w:w="3120"/>
          </w:tcPr>
          <w:p>
            <w:r>
              <w:rPr>
                <w:sz w:val="20"/>
              </w:rPr>
              <w:t>Merge/unmerge decisions, master attribute selection</w:t>
            </w:r>
          </w:p>
        </w:tc>
      </w:tr>
      <w:tr>
        <w:tc>
          <w:tcPr>
            <w:tcW w:type="dxa" w:w="3120"/>
            <w:shd w:fill="F4F6FA" w:val="clear"/>
          </w:tcPr>
          <w:p>
            <w:r>
              <w:rPr>
                <w:sz w:val="20"/>
              </w:rPr>
              <w:t>Supplier</w:t>
            </w:r>
          </w:p>
        </w:tc>
        <w:tc>
          <w:tcPr>
            <w:tcW w:type="dxa" w:w="3120"/>
            <w:shd w:fill="F4F6FA" w:val="clear"/>
          </w:tcPr>
          <w:p>
            <w:r>
              <w:rPr>
                <w:sz w:val="20"/>
              </w:rPr>
              <w:t>Validate supplier profiles, resolve parent/subsidiary relationships</w:t>
            </w:r>
          </w:p>
        </w:tc>
        <w:tc>
          <w:tcPr>
            <w:tcW w:type="dxa" w:w="3120"/>
            <w:shd w:fill="F4F6FA" w:val="clear"/>
          </w:tcPr>
          <w:p>
            <w:r>
              <w:rPr>
                <w:sz w:val="20"/>
              </w:rPr>
              <w:t>Hierarchy placement, cross-reference validation</w:t>
            </w:r>
          </w:p>
        </w:tc>
      </w:tr>
      <w:tr>
        <w:tc>
          <w:tcPr>
            <w:tcW w:type="dxa" w:w="3120"/>
          </w:tcPr>
          <w:p>
            <w:r>
              <w:rPr>
                <w:sz w:val="20"/>
              </w:rPr>
              <w:t>Product</w:t>
            </w:r>
          </w:p>
        </w:tc>
        <w:tc>
          <w:tcPr>
            <w:tcW w:type="dxa" w:w="3120"/>
          </w:tcPr>
          <w:p>
            <w:r>
              <w:rPr>
                <w:sz w:val="20"/>
              </w:rPr>
              <w:t>Maintain product attributes, resolve category conflicts</w:t>
            </w:r>
          </w:p>
        </w:tc>
        <w:tc>
          <w:tcPr>
            <w:tcW w:type="dxa" w:w="3120"/>
          </w:tcPr>
          <w:p>
            <w:r>
              <w:rPr>
                <w:sz w:val="20"/>
              </w:rPr>
              <w:t>Category assignment, product hierarchy</w:t>
            </w:r>
          </w:p>
        </w:tc>
      </w:tr>
      <w:tr>
        <w:tc>
          <w:tcPr>
            <w:tcW w:type="dxa" w:w="3120"/>
            <w:shd w:fill="F4F6FA" w:val="clear"/>
          </w:tcPr>
          <w:p>
            <w:r>
              <w:rPr>
                <w:sz w:val="20"/>
              </w:rPr>
              <w:t>Location</w:t>
            </w:r>
          </w:p>
        </w:tc>
        <w:tc>
          <w:tcPr>
            <w:tcW w:type="dxa" w:w="3120"/>
            <w:shd w:fill="F4F6FA" w:val="clear"/>
          </w:tcPr>
          <w:p>
            <w:r>
              <w:rPr>
                <w:sz w:val="20"/>
              </w:rPr>
              <w:t>Validate addresses, resolve address quality exceptions</w:t>
            </w:r>
          </w:p>
        </w:tc>
        <w:tc>
          <w:tcPr>
            <w:tcW w:type="dxa" w:w="3120"/>
            <w:shd w:fill="F4F6FA" w:val="clear"/>
          </w:tcPr>
          <w:p>
            <w:r>
              <w:rPr>
                <w:sz w:val="20"/>
              </w:rPr>
              <w:t>Address standardization acceptance</w:t>
            </w:r>
          </w:p>
        </w:tc>
      </w:tr>
      <w:tr>
        <w:tc>
          <w:tcPr>
            <w:tcW w:type="dxa" w:w="3120"/>
          </w:tcPr>
          <w:p>
            <w:r>
              <w:rPr>
                <w:sz w:val="20"/>
              </w:rPr>
              <w:t>Reference Data</w:t>
            </w:r>
          </w:p>
        </w:tc>
        <w:tc>
          <w:tcPr>
            <w:tcW w:type="dxa" w:w="3120"/>
          </w:tcPr>
          <w:p>
            <w:r>
              <w:rPr>
                <w:sz w:val="20"/>
              </w:rPr>
              <w:t>Maintain code lists, resolve taxonomy conflicts</w:t>
            </w:r>
          </w:p>
        </w:tc>
        <w:tc>
          <w:tcPr>
            <w:tcW w:type="dxa" w:w="3120"/>
          </w:tcPr>
          <w:p>
            <w:r>
              <w:rPr>
                <w:sz w:val="20"/>
              </w:rPr>
              <w:t>New code approval, retirement decisions</w:t>
            </w:r>
          </w:p>
        </w:tc>
      </w:tr>
    </w:tbl>
    <w:p/>
    <w:p>
      <w:pPr>
        <w:pStyle w:val="Heading1"/>
      </w:pPr>
      <w:r>
        <w:t>2. Daily Workflow</w:t>
      </w:r>
    </w:p>
    <w:p>
      <w:pPr>
        <w:pStyle w:val="Heading2"/>
      </w:pPr>
      <w:r>
        <w:t>2.1 Standard Steward Daily Routine</w:t>
      </w:r>
    </w:p>
    <w:p>
      <w:pPr>
        <w:pStyle w:val="ListNumber"/>
      </w:pPr>
      <w:r>
        <w:t>Log in to Reltio UI (08:00): Review task queue — filter by domain and priority</w:t>
      </w:r>
    </w:p>
    <w:p>
      <w:pPr>
        <w:pStyle w:val="ListNumber"/>
      </w:pPr>
      <w:r>
        <w:t>Process P1 exceptions first (08:00–10:00): Critical data issues impacting live systems</w:t>
      </w:r>
    </w:p>
    <w:p>
      <w:pPr>
        <w:pStyle w:val="ListNumber"/>
      </w:pPr>
      <w:r>
        <w:t>Batch process P2 exceptions (10:00–12:00): Standard quality exceptions</w:t>
      </w:r>
    </w:p>
    <w:p>
      <w:pPr>
        <w:pStyle w:val="ListNumber"/>
      </w:pPr>
      <w:r>
        <w:t>DQ monitoring review (13:00): Check domain DQ dashboard for trend anomalies</w:t>
      </w:r>
    </w:p>
    <w:p>
      <w:pPr>
        <w:pStyle w:val="ListNumber"/>
      </w:pPr>
      <w:r>
        <w:t>P3 exception queue (13:00–16:00): Low-priority exceptions, bulk resolution where applicable</w:t>
      </w:r>
    </w:p>
    <w:p>
      <w:pPr>
        <w:pStyle w:val="ListNumber"/>
      </w:pPr>
      <w:r>
        <w:t>Daily close report (16:30): Review SLA status, escalate at-risk items</w:t>
      </w:r>
    </w:p>
    <w:p>
      <w:pPr>
        <w:pStyle w:val="Heading2"/>
      </w:pPr>
      <w:r>
        <w:t>2.2 Exception Priority Definitions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Priority</w:t>
            </w:r>
          </w:p>
        </w:tc>
        <w:tc>
          <w:tcPr>
            <w:tcW w:type="dxa" w:w="2340"/>
            <w:shd w:fill="0C548A" w:val="clear"/>
          </w:tcPr>
          <w:p>
            <w:r>
              <w:rPr>
                <w:b/>
                <w:color w:val="FFFFFF"/>
                <w:sz w:val="20"/>
              </w:rPr>
              <w:t>Criteria</w:t>
            </w:r>
          </w:p>
        </w:tc>
        <w:tc>
          <w:tcPr>
            <w:tcW w:type="dxa" w:w="2340"/>
            <w:shd w:fill="0C548A" w:val="clear"/>
          </w:tcPr>
          <w:p>
            <w:r>
              <w:rPr>
                <w:b/>
                <w:color w:val="FFFFFF"/>
                <w:sz w:val="20"/>
              </w:rPr>
              <w:t>SLA</w:t>
            </w:r>
          </w:p>
        </w:tc>
        <w:tc>
          <w:tcPr>
            <w:tcW w:type="dxa" w:w="2340"/>
            <w:shd w:fill="0C548A" w:val="clear"/>
          </w:tcPr>
          <w:p>
            <w:r>
              <w:rPr>
                <w:b/>
                <w:color w:val="FFFFFF"/>
                <w:sz w:val="20"/>
              </w:rPr>
              <w:t>Example</w:t>
            </w:r>
          </w:p>
        </w:tc>
      </w:tr>
      <w:tr>
        <w:tc>
          <w:tcPr>
            <w:tcW w:type="dxa" w:w="2340"/>
          </w:tcPr>
          <w:p>
            <w:r>
              <w:rPr>
                <w:sz w:val="20"/>
              </w:rPr>
              <w:t>P1 — Critical</w:t>
            </w:r>
          </w:p>
        </w:tc>
        <w:tc>
          <w:tcPr>
            <w:tcW w:type="dxa" w:w="2340"/>
          </w:tcPr>
          <w:p>
            <w:r>
              <w:rPr>
                <w:sz w:val="20"/>
              </w:rPr>
              <w:t>Blocking business transaction or regulatory obligation</w:t>
            </w:r>
          </w:p>
        </w:tc>
        <w:tc>
          <w:tcPr>
            <w:tcW w:type="dxa" w:w="2340"/>
          </w:tcPr>
          <w:p>
            <w:r>
              <w:rPr>
                <w:sz w:val="20"/>
              </w:rPr>
              <w:t>4 hours</w:t>
            </w:r>
          </w:p>
        </w:tc>
        <w:tc>
          <w:tcPr>
            <w:tcW w:type="dxa" w:w="2340"/>
          </w:tcPr>
          <w:p>
            <w:r>
              <w:rPr>
                <w:sz w:val="20"/>
              </w:rPr>
              <w:t>Incorrect tax ID blocking invoice processing</w:t>
            </w:r>
          </w:p>
        </w:tc>
      </w:tr>
      <w:tr>
        <w:tc>
          <w:tcPr>
            <w:tcW w:type="dxa" w:w="2340"/>
            <w:shd w:fill="F4F6FA" w:val="clear"/>
          </w:tcPr>
          <w:p>
            <w:r>
              <w:rPr>
                <w:sz w:val="20"/>
              </w:rPr>
              <w:t>P2 — High</w:t>
            </w:r>
          </w:p>
        </w:tc>
        <w:tc>
          <w:tcPr>
            <w:tcW w:type="dxa" w:w="2340"/>
            <w:shd w:fill="F4F6FA" w:val="clear"/>
          </w:tcPr>
          <w:p>
            <w:r>
              <w:rPr>
                <w:sz w:val="20"/>
              </w:rPr>
              <w:t>Impacting data quality metrics or downstream reporting</w:t>
            </w:r>
          </w:p>
        </w:tc>
        <w:tc>
          <w:tcPr>
            <w:tcW w:type="dxa" w:w="2340"/>
            <w:shd w:fill="F4F6FA" w:val="clear"/>
          </w:tcPr>
          <w:p>
            <w:r>
              <w:rPr>
                <w:sz w:val="20"/>
              </w:rPr>
              <w:t>24 hours</w:t>
            </w:r>
          </w:p>
        </w:tc>
        <w:tc>
          <w:tcPr>
            <w:tcW w:type="dxa" w:w="2340"/>
            <w:shd w:fill="F4F6FA" w:val="clear"/>
          </w:tcPr>
          <w:p>
            <w:r>
              <w:rPr>
                <w:sz w:val="20"/>
              </w:rPr>
              <w:t>Duplicate customer records merging needed</w:t>
            </w:r>
          </w:p>
        </w:tc>
      </w:tr>
      <w:tr>
        <w:tc>
          <w:tcPr>
            <w:tcW w:type="dxa" w:w="2340"/>
          </w:tcPr>
          <w:p>
            <w:r>
              <w:rPr>
                <w:sz w:val="20"/>
              </w:rPr>
              <w:t>P3 — Standard</w:t>
            </w:r>
          </w:p>
        </w:tc>
        <w:tc>
          <w:tcPr>
            <w:tcW w:type="dxa" w:w="2340"/>
          </w:tcPr>
          <w:p>
            <w:r>
              <w:rPr>
                <w:sz w:val="20"/>
              </w:rPr>
              <w:t>Routine quality improvement, non-blocking</w:t>
            </w:r>
          </w:p>
        </w:tc>
        <w:tc>
          <w:tcPr>
            <w:tcW w:type="dxa" w:w="2340"/>
          </w:tcPr>
          <w:p>
            <w:r>
              <w:rPr>
                <w:sz w:val="20"/>
              </w:rPr>
              <w:t>5 business days</w:t>
            </w:r>
          </w:p>
        </w:tc>
        <w:tc>
          <w:tcPr>
            <w:tcW w:type="dxa" w:w="2340"/>
          </w:tcPr>
          <w:p>
            <w:r>
              <w:rPr>
                <w:sz w:val="20"/>
              </w:rPr>
              <w:t>Missing optional attribute (middle name)</w:t>
            </w:r>
          </w:p>
        </w:tc>
      </w:tr>
      <w:tr>
        <w:tc>
          <w:tcPr>
            <w:tcW w:type="dxa" w:w="2340"/>
            <w:shd w:fill="F4F6FA" w:val="clear"/>
          </w:tcPr>
          <w:p>
            <w:r>
              <w:rPr>
                <w:sz w:val="20"/>
              </w:rPr>
              <w:t>P4 — Low</w:t>
            </w:r>
          </w:p>
        </w:tc>
        <w:tc>
          <w:tcPr>
            <w:tcW w:type="dxa" w:w="2340"/>
            <w:shd w:fill="F4F6FA" w:val="clear"/>
          </w:tcPr>
          <w:p>
            <w:r>
              <w:rPr>
                <w:sz w:val="20"/>
              </w:rPr>
              <w:t>Enhancement, minor improvement</w:t>
            </w:r>
          </w:p>
        </w:tc>
        <w:tc>
          <w:tcPr>
            <w:tcW w:type="dxa" w:w="2340"/>
            <w:shd w:fill="F4F6FA" w:val="clear"/>
          </w:tcPr>
          <w:p>
            <w:r>
              <w:rPr>
                <w:sz w:val="20"/>
              </w:rPr>
              <w:t>30 days</w:t>
            </w:r>
          </w:p>
        </w:tc>
        <w:tc>
          <w:tcPr>
            <w:tcW w:type="dxa" w:w="2340"/>
            <w:shd w:fill="F4F6FA" w:val="clear"/>
          </w:tcPr>
          <w:p>
            <w:r>
              <w:rPr>
                <w:sz w:val="20"/>
              </w:rPr>
              <w:t>Address formatting standardization</w:t>
            </w:r>
          </w:p>
        </w:tc>
      </w:tr>
    </w:tbl>
    <w:p/>
    <w:p>
      <w:pPr>
        <w:pStyle w:val="Heading1"/>
      </w:pPr>
      <w:r>
        <w:t>3. Exception Types &amp; Resolution</w:t>
      </w:r>
    </w:p>
    <w:p>
      <w:pPr>
        <w:pStyle w:val="Heading2"/>
      </w:pPr>
      <w:r>
        <w:t>3.1 Potential Duplicate (Match Exception)</w:t>
      </w:r>
    </w:p>
    <w:p>
      <w:r>
        <w:t>Reltio identifies potential duplicates when the match engine calculates a confidence score above the review threshold but below the auto-merge threshold.</w:t>
      </w:r>
    </w:p>
    <w:p>
      <w:pPr>
        <w:pStyle w:val="ListBullet"/>
      </w:pPr>
      <w:r>
        <w:t>Review: Compare entities side-by-side in Reltio potential duplicate review UI</w:t>
      </w:r>
    </w:p>
    <w:p>
      <w:pPr>
        <w:pStyle w:val="ListBullet"/>
      </w:pPr>
      <w:r>
        <w:t>Decision factors: Same address, same phone, same email, similar name, same tax ID</w:t>
      </w:r>
    </w:p>
    <w:p>
      <w:pPr>
        <w:pStyle w:val="ListBullet"/>
      </w:pPr>
      <w:r>
        <w:t>Merge: Confirm merge if entities represent same real-world object</w:t>
      </w:r>
    </w:p>
    <w:p>
      <w:pPr>
        <w:pStyle w:val="ListBullet"/>
      </w:pPr>
      <w:r>
        <w:t>Not a match: Mark as 'Not a Duplicate' to prevent future auto-merge</w:t>
      </w:r>
    </w:p>
    <w:p>
      <w:pPr>
        <w:pStyle w:val="ListBullet"/>
      </w:pPr>
      <w:r>
        <w:t>Pending: Set to pending if additional information is needed before deciding</w:t>
      </w:r>
    </w:p>
    <w:p>
      <w:pPr>
        <w:pStyle w:val="Heading2"/>
      </w:pPr>
      <w:r>
        <w:t>3.2 Data Quality Exception</w:t>
      </w:r>
    </w:p>
    <w:p>
      <w:pPr>
        <w:pStyle w:val="ListBullet"/>
      </w:pPr>
      <w:r>
        <w:t>Missing required attribute: Enrich from source system or data provider</w:t>
      </w:r>
    </w:p>
    <w:p>
      <w:pPr>
        <w:pStyle w:val="ListBullet"/>
      </w:pPr>
      <w:r>
        <w:t>Invalid format: Correct to standard format (date, phone, postal code)</w:t>
      </w:r>
    </w:p>
    <w:p>
      <w:pPr>
        <w:pStyle w:val="ListBullet"/>
      </w:pPr>
      <w:r>
        <w:t>Out-of-range value: Verify with business owner and correct or mark exception</w:t>
      </w:r>
    </w:p>
    <w:p>
      <w:pPr>
        <w:pStyle w:val="ListBullet"/>
      </w:pPr>
      <w:r>
        <w:t>Referential integrity: Resolve broken relationship links to parent entities</w:t>
      </w:r>
    </w:p>
    <w:p>
      <w:pPr>
        <w:pStyle w:val="Heading2"/>
      </w:pPr>
      <w:r>
        <w:t>3.3 Enrichment Exception</w:t>
      </w:r>
    </w:p>
    <w:p>
      <w:r>
        <w:t>Enrichment exceptions occur when third-party data (D&amp;B, Melissa Data, etc.) cannot be matched to the golden record. Steward actions:</w:t>
      </w:r>
    </w:p>
    <w:p>
      <w:pPr>
        <w:pStyle w:val="ListBullet"/>
      </w:pPr>
      <w:r>
        <w:t>Verify entity completeness — enrichment requires minimum viable data quality</w:t>
      </w:r>
    </w:p>
    <w:p>
      <w:pPr>
        <w:pStyle w:val="ListBullet"/>
      </w:pPr>
      <w:r>
        <w:t>Manual enrichment: Update key attributes to improve match score with data provider</w:t>
      </w:r>
    </w:p>
    <w:p>
      <w:pPr>
        <w:pStyle w:val="ListBullet"/>
      </w:pPr>
      <w:r>
        <w:t>Mark as exempt: If entity is intentionally minimal (e.g., privacy-restricted individual)</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Reltio's bulk resolution feature for exceptions with identical root causes. Resolve up to 500 similar exceptions in a single batch operation to meet SLA during high-volume periods.</w:t>
      </w:r>
    </w:p>
    <w:p/>
    <w:p>
      <w:pPr>
        <w:pStyle w:val="Heading1"/>
      </w:pPr>
      <w:r>
        <w:t>4. Reltio UI Stewardship</w:t>
      </w:r>
    </w:p>
    <w:p>
      <w:pPr>
        <w:pStyle w:val="Heading2"/>
      </w:pPr>
      <w:r>
        <w:t>4.1 Key UI Navigation</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UI Section</w:t>
            </w:r>
          </w:p>
        </w:tc>
        <w:tc>
          <w:tcPr>
            <w:tcW w:type="dxa" w:w="3120"/>
            <w:shd w:fill="0C548A" w:val="clear"/>
          </w:tcPr>
          <w:p>
            <w:r>
              <w:rPr>
                <w:b/>
                <w:color w:val="FFFFFF"/>
                <w:sz w:val="20"/>
              </w:rPr>
              <w:t>Path</w:t>
            </w:r>
          </w:p>
        </w:tc>
        <w:tc>
          <w:tcPr>
            <w:tcW w:type="dxa" w:w="3120"/>
            <w:shd w:fill="0C548A" w:val="clear"/>
          </w:tcPr>
          <w:p>
            <w:r>
              <w:rPr>
                <w:b/>
                <w:color w:val="FFFFFF"/>
                <w:sz w:val="20"/>
              </w:rPr>
              <w:t>Use Case</w:t>
            </w:r>
          </w:p>
        </w:tc>
      </w:tr>
      <w:tr>
        <w:tc>
          <w:tcPr>
            <w:tcW w:type="dxa" w:w="3120"/>
          </w:tcPr>
          <w:p>
            <w:r>
              <w:rPr>
                <w:sz w:val="20"/>
              </w:rPr>
              <w:t>Task Queue</w:t>
            </w:r>
          </w:p>
        </w:tc>
        <w:tc>
          <w:tcPr>
            <w:tcW w:type="dxa" w:w="3120"/>
          </w:tcPr>
          <w:p>
            <w:r>
              <w:rPr>
                <w:sz w:val="20"/>
              </w:rPr>
              <w:t>Stewardship &gt; Tasks</w:t>
            </w:r>
          </w:p>
        </w:tc>
        <w:tc>
          <w:tcPr>
            <w:tcW w:type="dxa" w:w="3120"/>
          </w:tcPr>
          <w:p>
            <w:r>
              <w:rPr>
                <w:sz w:val="20"/>
              </w:rPr>
              <w:t>Primary work queue for all assigned exceptions</w:t>
            </w:r>
          </w:p>
        </w:tc>
      </w:tr>
      <w:tr>
        <w:tc>
          <w:tcPr>
            <w:tcW w:type="dxa" w:w="3120"/>
            <w:shd w:fill="F4F6FA" w:val="clear"/>
          </w:tcPr>
          <w:p>
            <w:r>
              <w:rPr>
                <w:sz w:val="20"/>
              </w:rPr>
              <w:t>Potential Duplicates</w:t>
            </w:r>
          </w:p>
        </w:tc>
        <w:tc>
          <w:tcPr>
            <w:tcW w:type="dxa" w:w="3120"/>
            <w:shd w:fill="F4F6FA" w:val="clear"/>
          </w:tcPr>
          <w:p>
            <w:r>
              <w:rPr>
                <w:sz w:val="20"/>
              </w:rPr>
              <w:t>Stewardship &gt; Potential Duplicates</w:t>
            </w:r>
          </w:p>
        </w:tc>
        <w:tc>
          <w:tcPr>
            <w:tcW w:type="dxa" w:w="3120"/>
            <w:shd w:fill="F4F6FA" w:val="clear"/>
          </w:tcPr>
          <w:p>
            <w:r>
              <w:rPr>
                <w:sz w:val="20"/>
              </w:rPr>
              <w:t>Match exception review and merge/reject decisions</w:t>
            </w:r>
          </w:p>
        </w:tc>
      </w:tr>
      <w:tr>
        <w:tc>
          <w:tcPr>
            <w:tcW w:type="dxa" w:w="3120"/>
          </w:tcPr>
          <w:p>
            <w:r>
              <w:rPr>
                <w:sz w:val="20"/>
              </w:rPr>
              <w:t>Entity Search</w:t>
            </w:r>
          </w:p>
        </w:tc>
        <w:tc>
          <w:tcPr>
            <w:tcW w:type="dxa" w:w="3120"/>
          </w:tcPr>
          <w:p>
            <w:r>
              <w:rPr>
                <w:sz w:val="20"/>
              </w:rPr>
              <w:t>Search &gt; Advanced Search</w:t>
            </w:r>
          </w:p>
        </w:tc>
        <w:tc>
          <w:tcPr>
            <w:tcW w:type="dxa" w:w="3120"/>
          </w:tcPr>
          <w:p>
            <w:r>
              <w:rPr>
                <w:sz w:val="20"/>
              </w:rPr>
              <w:t>Find specific entities by attribute value or cross-reference</w:t>
            </w:r>
          </w:p>
        </w:tc>
      </w:tr>
      <w:tr>
        <w:tc>
          <w:tcPr>
            <w:tcW w:type="dxa" w:w="3120"/>
            <w:shd w:fill="F4F6FA" w:val="clear"/>
          </w:tcPr>
          <w:p>
            <w:r>
              <w:rPr>
                <w:sz w:val="20"/>
              </w:rPr>
              <w:t>Entity Detail</w:t>
            </w:r>
          </w:p>
        </w:tc>
        <w:tc>
          <w:tcPr>
            <w:tcW w:type="dxa" w:w="3120"/>
            <w:shd w:fill="F4F6FA" w:val="clear"/>
          </w:tcPr>
          <w:p>
            <w:r>
              <w:rPr>
                <w:sz w:val="20"/>
              </w:rPr>
              <w:t>Search &gt; [Entity] &gt; View</w:t>
            </w:r>
          </w:p>
        </w:tc>
        <w:tc>
          <w:tcPr>
            <w:tcW w:type="dxa" w:w="3120"/>
            <w:shd w:fill="F4F6FA" w:val="clear"/>
          </w:tcPr>
          <w:p>
            <w:r>
              <w:rPr>
                <w:sz w:val="20"/>
              </w:rPr>
              <w:t>Full entity details, history, relationships, sources</w:t>
            </w:r>
          </w:p>
        </w:tc>
      </w:tr>
      <w:tr>
        <w:tc>
          <w:tcPr>
            <w:tcW w:type="dxa" w:w="3120"/>
          </w:tcPr>
          <w:p>
            <w:r>
              <w:rPr>
                <w:sz w:val="20"/>
              </w:rPr>
              <w:t>Bulk Resolution</w:t>
            </w:r>
          </w:p>
        </w:tc>
        <w:tc>
          <w:tcPr>
            <w:tcW w:type="dxa" w:w="3120"/>
          </w:tcPr>
          <w:p>
            <w:r>
              <w:rPr>
                <w:sz w:val="20"/>
              </w:rPr>
              <w:t>Stewardship &gt; Bulk Operations</w:t>
            </w:r>
          </w:p>
        </w:tc>
        <w:tc>
          <w:tcPr>
            <w:tcW w:type="dxa" w:w="3120"/>
          </w:tcPr>
          <w:p>
            <w:r>
              <w:rPr>
                <w:sz w:val="20"/>
              </w:rPr>
              <w:t>Mass resolve similar exceptions</w:t>
            </w:r>
          </w:p>
        </w:tc>
      </w:tr>
      <w:tr>
        <w:tc>
          <w:tcPr>
            <w:tcW w:type="dxa" w:w="3120"/>
            <w:shd w:fill="F4F6FA" w:val="clear"/>
          </w:tcPr>
          <w:p>
            <w:r>
              <w:rPr>
                <w:sz w:val="20"/>
              </w:rPr>
              <w:t>DQ Dashboard</w:t>
            </w:r>
          </w:p>
        </w:tc>
        <w:tc>
          <w:tcPr>
            <w:tcW w:type="dxa" w:w="3120"/>
            <w:shd w:fill="F4F6FA" w:val="clear"/>
          </w:tcPr>
          <w:p>
            <w:r>
              <w:rPr>
                <w:sz w:val="20"/>
              </w:rPr>
              <w:t>Analytics &gt; Data Quality</w:t>
            </w:r>
          </w:p>
        </w:tc>
        <w:tc>
          <w:tcPr>
            <w:tcW w:type="dxa" w:w="3120"/>
            <w:shd w:fill="F4F6FA" w:val="clear"/>
          </w:tcPr>
          <w:p>
            <w:r>
              <w:rPr>
                <w:sz w:val="20"/>
              </w:rPr>
              <w:t>Domain-level quality metrics and trends</w:t>
            </w:r>
          </w:p>
        </w:tc>
      </w:tr>
    </w:tbl>
    <w:p/>
    <w:p>
      <w:pPr>
        <w:pStyle w:val="Heading2"/>
      </w:pPr>
      <w:r>
        <w:t>4.2 Merge Operation Steps</w:t>
      </w:r>
    </w:p>
    <w:p>
      <w:pPr>
        <w:pStyle w:val="ListNumber"/>
      </w:pPr>
      <w:r>
        <w:t>Open potential duplicate task from task queue</w:t>
      </w:r>
    </w:p>
    <w:p>
      <w:pPr>
        <w:pStyle w:val="ListNumber"/>
      </w:pPr>
      <w:r>
        <w:t>Review entity A and entity B side-by-side comparison panel</w:t>
      </w:r>
    </w:p>
    <w:p>
      <w:pPr>
        <w:pStyle w:val="ListNumber"/>
      </w:pPr>
      <w:r>
        <w:t>Verify matching attributes (name, address, ID values)</w:t>
      </w:r>
    </w:p>
    <w:p>
      <w:pPr>
        <w:pStyle w:val="ListNumber"/>
      </w:pPr>
      <w:r>
        <w:t>Select survivorship preference if different from default rule</w:t>
      </w:r>
    </w:p>
    <w:p>
      <w:pPr>
        <w:pStyle w:val="ListNumber"/>
      </w:pPr>
      <w:r>
        <w:t>Click 'Merge' — system creates unified golden record with all cross-references</w:t>
      </w:r>
    </w:p>
    <w:p>
      <w:pPr>
        <w:pStyle w:val="ListNumber"/>
      </w:pPr>
      <w:r>
        <w:t>Verify merged golden record attributes and relationships</w:t>
      </w:r>
    </w:p>
    <w:p>
      <w:pPr>
        <w:pStyle w:val="ListNumber"/>
      </w:pPr>
      <w:r>
        <w:t>Add resolution note for audit trail</w:t>
      </w:r>
    </w:p>
    <w:p>
      <w:pPr>
        <w:pStyle w:val="Heading1"/>
      </w:pPr>
      <w:r>
        <w:t>5. Bulk Resolution Patterns</w:t>
      </w:r>
    </w:p>
    <w:p>
      <w:pPr>
        <w:pStyle w:val="Heading2"/>
      </w:pPr>
      <w:r>
        <w:t>5.1 Bulk Merge</w:t>
      </w:r>
    </w:p>
    <w:p>
      <w:r>
        <w:t>For confirmed duplicate batches (e.g., post-migration de-duplication), use Reltio's Bulk Merge API to process thousands of merge pairs programmatically.</w:t>
      </w:r>
    </w:p>
    <w:p>
      <w:pPr>
        <w:pStyle w:val="NoSpacing"/>
        <w:shd w:fill="F5F5F5" w:val="clear"/>
        <w:ind w:left="432"/>
      </w:pPr>
      <w:r>
        <w:rPr>
          <w:rFonts w:ascii="Consolas" w:hAnsi="Consolas"/>
          <w:sz w:val="18"/>
        </w:rPr>
        <w:t># Bulk merge API example</w:t>
      </w:r>
    </w:p>
    <w:p>
      <w:pPr>
        <w:pStyle w:val="NoSpacing"/>
        <w:shd w:fill="F5F5F5" w:val="clear"/>
        <w:ind w:left="432"/>
      </w:pPr>
      <w:r>
        <w:rPr>
          <w:rFonts w:ascii="Consolas" w:hAnsi="Consolas"/>
          <w:sz w:val="18"/>
        </w:rPr>
        <w:t>POST /reltio/api/{tenant}/operations/merge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"survivingEntity": "configuration/entities/ENTITY_URI_A",</w:t>
      </w:r>
    </w:p>
    <w:p>
      <w:pPr>
        <w:pStyle w:val="NoSpacing"/>
        <w:shd w:fill="F5F5F5" w:val="clear"/>
        <w:ind w:left="432"/>
      </w:pPr>
      <w:r>
        <w:rPr>
          <w:rFonts w:ascii="Consolas" w:hAnsi="Consolas"/>
          <w:sz w:val="18"/>
        </w:rPr>
        <w:t xml:space="preserve">    "mergedEntity": "configuration/entities/ENTITY_URI_B"</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Returns job ID — poll for completion:</w:t>
      </w:r>
    </w:p>
    <w:p>
      <w:pPr>
        <w:pStyle w:val="NoSpacing"/>
        <w:shd w:fill="F5F5F5" w:val="clear"/>
        <w:ind w:left="432"/>
      </w:pPr>
      <w:r>
        <w:rPr>
          <w:rFonts w:ascii="Consolas" w:hAnsi="Consolas"/>
          <w:sz w:val="18"/>
        </w:rPr>
        <w:t>GET /reltio/api/{tenant}/jobs/{jobId}</w:t>
      </w:r>
    </w:p>
    <w:p/>
    <w:p>
      <w:pPr>
        <w:pStyle w:val="Heading2"/>
      </w:pPr>
      <w:r>
        <w:t>5.2 Bulk DQ Remediation</w:t>
      </w:r>
    </w:p>
    <w:p>
      <w:pPr>
        <w:pStyle w:val="ListBullet"/>
      </w:pPr>
      <w:r>
        <w:t>Export exceptions via DQ API to CSV</w:t>
      </w:r>
    </w:p>
    <w:p>
      <w:pPr>
        <w:pStyle w:val="ListBullet"/>
      </w:pPr>
      <w:r>
        <w:t>Enrich/correct in Excel or Python script using source system data</w:t>
      </w:r>
    </w:p>
    <w:p>
      <w:pPr>
        <w:pStyle w:val="ListBullet"/>
      </w:pPr>
      <w:r>
        <w:t>Re-import corrected records via Bulk API with source cross-reference preserved</w:t>
      </w:r>
    </w:p>
    <w:p>
      <w:pPr>
        <w:pStyle w:val="ListBullet"/>
      </w:pPr>
      <w:r>
        <w:t>Verify DQ score improvement post-load</w:t>
      </w:r>
    </w:p>
    <w:p>
      <w:pPr>
        <w:pStyle w:val="Heading1"/>
      </w:pPr>
      <w:r>
        <w:t>6. Performance &amp; SLA Management</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Metric</w:t>
            </w:r>
          </w:p>
        </w:tc>
        <w:tc>
          <w:tcPr>
            <w:tcW w:type="dxa" w:w="2340"/>
            <w:shd w:fill="0C548A" w:val="clear"/>
          </w:tcPr>
          <w:p>
            <w:r>
              <w:rPr>
                <w:b/>
                <w:color w:val="FFFFFF"/>
                <w:sz w:val="20"/>
              </w:rPr>
              <w:t>Monitoring Method</w:t>
            </w:r>
          </w:p>
        </w:tc>
        <w:tc>
          <w:tcPr>
            <w:tcW w:type="dxa" w:w="2340"/>
            <w:shd w:fill="0C548A" w:val="clear"/>
          </w:tcPr>
          <w:p>
            <w:r>
              <w:rPr>
                <w:b/>
                <w:color w:val="FFFFFF"/>
                <w:sz w:val="20"/>
              </w:rPr>
              <w:t>Alert Threshold</w:t>
            </w:r>
          </w:p>
        </w:tc>
        <w:tc>
          <w:tcPr>
            <w:tcW w:type="dxa" w:w="2340"/>
            <w:shd w:fill="0C548A" w:val="clear"/>
          </w:tcPr>
          <w:p>
            <w:r>
              <w:rPr>
                <w:b/>
                <w:color w:val="FFFFFF"/>
                <w:sz w:val="20"/>
              </w:rPr>
              <w:t>Owner</w:t>
            </w:r>
          </w:p>
        </w:tc>
      </w:tr>
      <w:tr>
        <w:tc>
          <w:tcPr>
            <w:tcW w:type="dxa" w:w="2340"/>
          </w:tcPr>
          <w:p>
            <w:r>
              <w:rPr>
                <w:sz w:val="20"/>
              </w:rPr>
              <w:t>Daily exceptions resolved</w:t>
            </w:r>
          </w:p>
        </w:tc>
        <w:tc>
          <w:tcPr>
            <w:tcW w:type="dxa" w:w="2340"/>
          </w:tcPr>
          <w:p>
            <w:r>
              <w:rPr>
                <w:sz w:val="20"/>
              </w:rPr>
              <w:t>Reltio Stewardship Reports</w:t>
            </w:r>
          </w:p>
        </w:tc>
        <w:tc>
          <w:tcPr>
            <w:tcW w:type="dxa" w:w="2340"/>
          </w:tcPr>
          <w:p>
            <w:r>
              <w:rPr>
                <w:sz w:val="20"/>
              </w:rPr>
              <w:t>&lt; 80% of intake volume</w:t>
            </w:r>
          </w:p>
        </w:tc>
        <w:tc>
          <w:tcPr>
            <w:tcW w:type="dxa" w:w="2340"/>
          </w:tcPr>
          <w:p>
            <w:r>
              <w:rPr>
                <w:sz w:val="20"/>
              </w:rPr>
              <w:t>Domain Owner</w:t>
            </w:r>
          </w:p>
        </w:tc>
      </w:tr>
      <w:tr>
        <w:tc>
          <w:tcPr>
            <w:tcW w:type="dxa" w:w="2340"/>
            <w:shd w:fill="F4F6FA" w:val="clear"/>
          </w:tcPr>
          <w:p>
            <w:r>
              <w:rPr>
                <w:sz w:val="20"/>
              </w:rPr>
              <w:t>Exception backlog age</w:t>
            </w:r>
          </w:p>
        </w:tc>
        <w:tc>
          <w:tcPr>
            <w:tcW w:type="dxa" w:w="2340"/>
            <w:shd w:fill="F4F6FA" w:val="clear"/>
          </w:tcPr>
          <w:p>
            <w:r>
              <w:rPr>
                <w:sz w:val="20"/>
              </w:rPr>
              <w:t>Task queue filter: &gt;48h open</w:t>
            </w:r>
          </w:p>
        </w:tc>
        <w:tc>
          <w:tcPr>
            <w:tcW w:type="dxa" w:w="2340"/>
            <w:shd w:fill="F4F6FA" w:val="clear"/>
          </w:tcPr>
          <w:p>
            <w:r>
              <w:rPr>
                <w:sz w:val="20"/>
              </w:rPr>
              <w:t>&gt; 10% of queue</w:t>
            </w:r>
          </w:p>
        </w:tc>
        <w:tc>
          <w:tcPr>
            <w:tcW w:type="dxa" w:w="2340"/>
            <w:shd w:fill="F4F6FA" w:val="clear"/>
          </w:tcPr>
          <w:p>
            <w:r>
              <w:rPr>
                <w:sz w:val="20"/>
              </w:rPr>
              <w:t>Steward</w:t>
            </w:r>
          </w:p>
        </w:tc>
      </w:tr>
      <w:tr>
        <w:tc>
          <w:tcPr>
            <w:tcW w:type="dxa" w:w="2340"/>
          </w:tcPr>
          <w:p>
            <w:r>
              <w:rPr>
                <w:sz w:val="20"/>
              </w:rPr>
              <w:t>P1 SLA adherence</w:t>
            </w:r>
          </w:p>
        </w:tc>
        <w:tc>
          <w:tcPr>
            <w:tcW w:type="dxa" w:w="2340"/>
          </w:tcPr>
          <w:p>
            <w:r>
              <w:rPr>
                <w:sz w:val="20"/>
              </w:rPr>
              <w:t>Task queue SLA indicator</w:t>
            </w:r>
          </w:p>
        </w:tc>
        <w:tc>
          <w:tcPr>
            <w:tcW w:type="dxa" w:w="2340"/>
          </w:tcPr>
          <w:p>
            <w:r>
              <w:rPr>
                <w:sz w:val="20"/>
              </w:rPr>
              <w:t>&lt; 100%</w:t>
            </w:r>
          </w:p>
        </w:tc>
        <w:tc>
          <w:tcPr>
            <w:tcW w:type="dxa" w:w="2340"/>
          </w:tcPr>
          <w:p>
            <w:r>
              <w:rPr>
                <w:sz w:val="20"/>
              </w:rPr>
              <w:t>Domain Owner</w:t>
            </w:r>
          </w:p>
        </w:tc>
      </w:tr>
      <w:tr>
        <w:tc>
          <w:tcPr>
            <w:tcW w:type="dxa" w:w="2340"/>
            <w:shd w:fill="F4F6FA" w:val="clear"/>
          </w:tcPr>
          <w:p>
            <w:r>
              <w:rPr>
                <w:sz w:val="20"/>
              </w:rPr>
              <w:t>Merge accuracy rate</w:t>
            </w:r>
          </w:p>
        </w:tc>
        <w:tc>
          <w:tcPr>
            <w:tcW w:type="dxa" w:w="2340"/>
            <w:shd w:fill="F4F6FA" w:val="clear"/>
          </w:tcPr>
          <w:p>
            <w:r>
              <w:rPr>
                <w:sz w:val="20"/>
              </w:rPr>
              <w:t>Post-merge sampling audit</w:t>
            </w:r>
          </w:p>
        </w:tc>
        <w:tc>
          <w:tcPr>
            <w:tcW w:type="dxa" w:w="2340"/>
            <w:shd w:fill="F4F6FA" w:val="clear"/>
          </w:tcPr>
          <w:p>
            <w:r>
              <w:rPr>
                <w:sz w:val="20"/>
              </w:rPr>
              <w:t>&lt; 98% accurate</w:t>
            </w:r>
          </w:p>
        </w:tc>
        <w:tc>
          <w:tcPr>
            <w:tcW w:type="dxa" w:w="2340"/>
            <w:shd w:fill="F4F6FA" w:val="clear"/>
          </w:tcPr>
          <w:p>
            <w:r>
              <w:rPr>
                <w:sz w:val="20"/>
              </w:rPr>
              <w:t>DQ Analyst</w:t>
            </w:r>
          </w:p>
        </w:tc>
      </w:tr>
      <w:tr>
        <w:tc>
          <w:tcPr>
            <w:tcW w:type="dxa" w:w="2340"/>
          </w:tcPr>
          <w:p>
            <w:r>
              <w:rPr>
                <w:sz w:val="20"/>
              </w:rPr>
              <w:t>Steward productivity</w:t>
            </w:r>
          </w:p>
        </w:tc>
        <w:tc>
          <w:tcPr>
            <w:tcW w:type="dxa" w:w="2340"/>
          </w:tcPr>
          <w:p>
            <w:r>
              <w:rPr>
                <w:sz w:val="20"/>
              </w:rPr>
              <w:t>Resolved tasks per steward per day</w:t>
            </w:r>
          </w:p>
        </w:tc>
        <w:tc>
          <w:tcPr>
            <w:tcW w:type="dxa" w:w="2340"/>
          </w:tcPr>
          <w:p>
            <w:r>
              <w:rPr>
                <w:sz w:val="20"/>
              </w:rPr>
              <w:t>&lt; 50 tasks/day</w:t>
            </w:r>
          </w:p>
        </w:tc>
        <w:tc>
          <w:tcPr>
            <w:tcW w:type="dxa" w:w="2340"/>
          </w:tcPr>
          <w:p>
            <w:r>
              <w:rPr>
                <w:sz w:val="20"/>
              </w:rPr>
              <w:t>Domain Owner</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GOV-001: Data Governance Framework</w:t>
            </w:r>
          </w:p>
        </w:tc>
        <w:tc>
          <w:tcPr>
            <w:tcW w:type="dxa" w:w="4680"/>
          </w:tcPr>
          <w:p>
            <w:r>
              <w:rPr>
                <w:sz w:val="20"/>
              </w:rPr>
              <w:t>Reltio Asset Library</w:t>
            </w:r>
          </w:p>
        </w:tc>
      </w:tr>
      <w:tr>
        <w:tc>
          <w:tcPr>
            <w:tcW w:type="dxa" w:w="4680"/>
            <w:shd w:fill="F4F6FA" w:val="clear"/>
          </w:tcPr>
          <w:p>
            <w:r>
              <w:rPr>
                <w:sz w:val="20"/>
              </w:rPr>
              <w:t>GOV-003: Business Glossary Setup</w:t>
            </w:r>
          </w:p>
        </w:tc>
        <w:tc>
          <w:tcPr>
            <w:tcW w:type="dxa" w:w="4680"/>
            <w:shd w:fill="F4F6FA" w:val="clear"/>
          </w:tcPr>
          <w:p>
            <w:r>
              <w:rPr>
                <w:sz w:val="20"/>
              </w:rPr>
              <w:t>Reltio Asset Library</w:t>
            </w:r>
          </w:p>
        </w:tc>
      </w:tr>
      <w:tr>
        <w:tc>
          <w:tcPr>
            <w:tcW w:type="dxa" w:w="4680"/>
          </w:tcPr>
          <w:p>
            <w:r>
              <w:rPr>
                <w:sz w:val="20"/>
              </w:rPr>
              <w:t>MM-001: Match Rule Development</w:t>
            </w:r>
          </w:p>
        </w:tc>
        <w:tc>
          <w:tcPr>
            <w:tcW w:type="dxa" w:w="4680"/>
          </w:tcPr>
          <w:p>
            <w:r>
              <w:rPr>
                <w:sz w:val="20"/>
              </w:rPr>
              <w:t>Reltio Asset Library</w:t>
            </w:r>
          </w:p>
        </w:tc>
      </w:tr>
      <w:tr>
        <w:tc>
          <w:tcPr>
            <w:tcW w:type="dxa" w:w="4680"/>
            <w:shd w:fill="F4F6FA" w:val="clear"/>
          </w:tcPr>
          <w:p>
            <w:r>
              <w:rPr>
                <w:sz w:val="20"/>
              </w:rPr>
              <w:t>DQ-001: Data Quality Rules Engine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